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F4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  <w:t>煨木香配方颗粒</w:t>
      </w:r>
    </w:p>
    <w:p w14:paraId="79660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  <w:t>Weimuxiang Peifangkeli</w:t>
      </w:r>
    </w:p>
    <w:p w14:paraId="2265D47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8D36BA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【来源】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本品为菊科植物木香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Aucklandia lappa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Decne.的干燥根经炮制并按标准汤剂的主要质量指标加工制成的配方颗粒。</w:t>
      </w:r>
    </w:p>
    <w:p w14:paraId="3DC2585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【制法】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取煨木香饮片1100g，加水煎煮，滤过，滤液浓缩成清膏（干浸膏出膏率为45.5%~65.5%），加辅料适量，干燥（或干燥，粉碎），再加辅料适量，混匀，制粒，制成1000g，即得。</w:t>
      </w:r>
    </w:p>
    <w:p w14:paraId="17E9A98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【性状】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本品为浅黄棕色至黄棕色的颗粒；气香特异，味微苦。</w:t>
      </w:r>
    </w:p>
    <w:p w14:paraId="13DBB27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【鉴别】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取本品1g，研细，加甲醇5ml，超声处理30分钟，离心，取上清液浓缩至约</w:t>
      </w:r>
      <w:r>
        <w:rPr>
          <w:rFonts w:hint="default" w:ascii="Times New Roman" w:hAnsi="Times New Roman" w:eastAsia="宋体" w:cs="Times New Roman"/>
          <w:sz w:val="21"/>
          <w:szCs w:val="21"/>
        </w:rPr>
        <w:t>2ml，</w:t>
      </w:r>
      <w:r>
        <w:rPr>
          <w:rFonts w:hint="default" w:ascii="Times New Roman" w:hAnsi="Times New Roman" w:eastAsia="宋体" w:cs="Times New Roman"/>
          <w:sz w:val="21"/>
          <w:szCs w:val="21"/>
        </w:rPr>
        <w:t>作为供试品溶液。另取木香对照药材</w:t>
      </w: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g，加水50ml，煎煮30分钟，滤过，滤液蒸干，残渣加甲醇5ml，同法制成对照药材溶液。再取木香烃内酯对照品、去氢木香内酯对照品，加甲醇分别制成每1ml含0.5mg的溶液，作为对照品溶液。照薄层色谱法（中国药典2020年版通则0502）试验，吸取供试品溶液与对照药材溶液各</w:t>
      </w:r>
      <w:r>
        <w:rPr>
          <w:rFonts w:hint="default" w:ascii="Times New Roman" w:hAnsi="Times New Roman" w:eastAsia="宋体" w:cs="Times New Roman"/>
          <w:sz w:val="21"/>
          <w:szCs w:val="21"/>
        </w:rPr>
        <w:t>10~2</w:t>
      </w:r>
      <w:r>
        <w:rPr>
          <w:rFonts w:hint="default" w:ascii="Times New Roman" w:hAnsi="Times New Roman" w:eastAsia="宋体" w:cs="Times New Roman"/>
          <w:sz w:val="21"/>
          <w:szCs w:val="21"/>
        </w:rPr>
        <w:t>0μl、对照品溶液5μl，分别点于同一硅胶G薄层板上，以环己烷-甲酸乙酯-甲酸（15</w:t>
      </w:r>
      <w:r>
        <w:rPr>
          <w:rFonts w:hint="default" w:ascii="Times New Roman" w:hAnsi="Times New Roman" w:eastAsia="宋体" w:cs="Times New Roman"/>
          <w:sz w:val="21"/>
          <w:szCs w:val="21"/>
        </w:rPr>
        <w:t>∶</w:t>
      </w:r>
      <w:r>
        <w:rPr>
          <w:rFonts w:hint="default" w:ascii="Times New Roman" w:hAnsi="Times New Roman" w:eastAsia="宋体" w:cs="Times New Roman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</w:rPr>
        <w:t>∶</w:t>
      </w:r>
      <w:r>
        <w:rPr>
          <w:rFonts w:hint="default" w:ascii="Times New Roman" w:hAnsi="Times New Roman" w:eastAsia="宋体" w:cs="Times New Roman"/>
          <w:sz w:val="21"/>
          <w:szCs w:val="21"/>
        </w:rPr>
        <w:t>1）的上层溶液为展开剂，展开，取出，晾干，喷以1%香草醛硫酸溶液，加热至斑点显色清晰。供试品色谱中，在与对照药材色谱和对照品色谱相应的位置上，显相同颜色的斑点。</w:t>
      </w:r>
    </w:p>
    <w:p w14:paraId="2D50B88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【特征图谱】</w:t>
      </w:r>
      <w:r>
        <w:rPr>
          <w:rFonts w:hint="eastAsia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照高效液相色谱法（中国药典2020年版通则0512）测定。</w:t>
      </w:r>
    </w:p>
    <w:p w14:paraId="5DD3834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171717" w:themeColor="background2" w:themeShade="1A"/>
          <w:sz w:val="21"/>
          <w:szCs w:val="21"/>
        </w:rPr>
        <w:t>色谱条件与系统适用性试验</w:t>
      </w:r>
      <w:r>
        <w:rPr>
          <w:rFonts w:hint="eastAsia" w:eastAsia="宋体" w:cs="Times New Roman"/>
          <w:b/>
          <w:color w:val="171717" w:themeColor="background2" w:themeShade="1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以十八烷基硅烷键合硅胶为填充剂（柱长为250mm，内径为4.6mm，粒径为5μm）；以乙腈为流动相A，以0.1%醋酸溶液为流动相B，按下表中的规定进行梯度洗脱；流速为每分钟1.2ml，柱温为25</w:t>
      </w:r>
      <w:r>
        <w:rPr>
          <w:rFonts w:hint="default" w:ascii="Times New Roman" w:hAnsi="Times New Roman" w:eastAsia="宋体" w:cs="Times New Roman"/>
          <w:sz w:val="21"/>
          <w:szCs w:val="21"/>
        </w:rPr>
        <w:t>℃</w:t>
      </w:r>
      <w:r>
        <w:rPr>
          <w:rFonts w:hint="default" w:ascii="Times New Roman" w:hAnsi="Times New Roman" w:eastAsia="宋体" w:cs="Times New Roman"/>
          <w:sz w:val="21"/>
          <w:szCs w:val="21"/>
        </w:rPr>
        <w:t>；检测波长为254nm。理论板数按紫丁香苷峰计算应不低于3000。</w:t>
      </w:r>
    </w:p>
    <w:tbl>
      <w:tblPr>
        <w:tblStyle w:val="8"/>
        <w:tblW w:w="478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0"/>
        <w:gridCol w:w="2721"/>
        <w:gridCol w:w="2721"/>
      </w:tblGrid>
      <w:tr w14:paraId="20E6D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 w14:paraId="02DCF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时间（分钟）</w:t>
            </w:r>
          </w:p>
        </w:tc>
        <w:tc>
          <w:tcPr>
            <w:tcW w:w="1666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 w14:paraId="7D7C4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流动相A（%）</w:t>
            </w:r>
          </w:p>
        </w:tc>
        <w:tc>
          <w:tcPr>
            <w:tcW w:w="1666" w:type="pct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 w14:paraId="69A69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流动相B（%）</w:t>
            </w:r>
          </w:p>
        </w:tc>
      </w:tr>
      <w:tr w14:paraId="4BFE0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62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0~10</w:t>
            </w:r>
          </w:p>
        </w:tc>
        <w:tc>
          <w:tcPr>
            <w:tcW w:w="1666" w:type="pct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B7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5→8</w:t>
            </w:r>
          </w:p>
        </w:tc>
        <w:tc>
          <w:tcPr>
            <w:tcW w:w="1666" w:type="pct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F4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95→92</w:t>
            </w:r>
          </w:p>
        </w:tc>
      </w:tr>
      <w:tr w14:paraId="17107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0E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10~20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54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8→15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53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92→85</w:t>
            </w:r>
          </w:p>
        </w:tc>
      </w:tr>
      <w:tr w14:paraId="68059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AC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20~25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6F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15→19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66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85→81</w:t>
            </w:r>
          </w:p>
        </w:tc>
      </w:tr>
      <w:tr w14:paraId="01358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EC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25~35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36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19→23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E3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81→77</w:t>
            </w:r>
          </w:p>
        </w:tc>
      </w:tr>
      <w:tr w14:paraId="59313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8A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35~42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02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0E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77</w:t>
            </w:r>
          </w:p>
        </w:tc>
      </w:tr>
      <w:tr w14:paraId="20E34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5F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42~55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CB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23→35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37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77→65</w:t>
            </w:r>
          </w:p>
        </w:tc>
      </w:tr>
      <w:tr w14:paraId="70C56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9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55~60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0C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35→65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F6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65→35</w:t>
            </w:r>
          </w:p>
        </w:tc>
      </w:tr>
      <w:tr w14:paraId="7B4BA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3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60~70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3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65→75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BE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35→25</w:t>
            </w:r>
          </w:p>
        </w:tc>
      </w:tr>
      <w:tr w14:paraId="5678F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506E5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70~75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28301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75→100</w:t>
            </w:r>
          </w:p>
        </w:tc>
        <w:tc>
          <w:tcPr>
            <w:tcW w:w="1666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0E2F5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25→0</w:t>
            </w:r>
          </w:p>
        </w:tc>
      </w:tr>
    </w:tbl>
    <w:p w14:paraId="424F52E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171717" w:themeColor="background2" w:themeShade="1A"/>
          <w:sz w:val="21"/>
          <w:szCs w:val="21"/>
        </w:rPr>
        <w:t>参照物溶液的制备</w:t>
      </w:r>
      <w:r>
        <w:rPr>
          <w:rFonts w:hint="eastAsia" w:eastAsia="宋体" w:cs="Times New Roman"/>
          <w:b/>
          <w:bCs/>
          <w:color w:val="171717" w:themeColor="background2" w:themeShade="1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171717" w:themeColor="background2" w:themeShade="1A"/>
          <w:sz w:val="21"/>
          <w:szCs w:val="21"/>
        </w:rPr>
        <w:t>取木香对照药材0.5g，</w:t>
      </w:r>
      <w:r>
        <w:rPr>
          <w:rFonts w:hint="default" w:ascii="Times New Roman" w:hAnsi="Times New Roman" w:eastAsia="宋体" w:cs="Times New Roman"/>
          <w:color w:val="1D1B11"/>
          <w:sz w:val="21"/>
          <w:szCs w:val="21"/>
        </w:rPr>
        <w:t>置具塞锥形瓶中，</w:t>
      </w:r>
      <w:r>
        <w:rPr>
          <w:rFonts w:hint="default" w:ascii="Times New Roman" w:hAnsi="Times New Roman" w:eastAsia="宋体" w:cs="Times New Roman"/>
          <w:color w:val="171717" w:themeColor="background2" w:themeShade="1A"/>
          <w:sz w:val="21"/>
          <w:szCs w:val="21"/>
        </w:rPr>
        <w:t>加水50ml，煎煮30分钟，离心，取上清液，蒸干，残渣加70%甲醇10ml，密塞，超声处理（功率600W，频率40kHz）30分钟，放冷，摇匀，滤过，取续滤液，作为对照药材参照物溶液。另取紫丁香苷对照品适量，精密称定，加70%甲醇制成每1ml含10μg的溶液，作为对照品参照物溶液。再取【含量测定】项下的对照品溶液作为对照品参照物溶液。</w:t>
      </w:r>
    </w:p>
    <w:p w14:paraId="526BC48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color w:val="171717" w:themeColor="background2" w:themeShade="1A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171717" w:themeColor="background2" w:themeShade="1A"/>
          <w:sz w:val="21"/>
          <w:szCs w:val="21"/>
        </w:rPr>
        <w:t>供试品溶液的制备</w:t>
      </w:r>
      <w:r>
        <w:rPr>
          <w:rFonts w:hint="eastAsia" w:eastAsia="宋体" w:cs="Times New Roman"/>
          <w:b/>
          <w:bCs/>
          <w:color w:val="171717" w:themeColor="background2" w:themeShade="1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lang w:bidi="en-US"/>
        </w:rPr>
        <w:t>同【含量测定】项。</w:t>
      </w:r>
    </w:p>
    <w:p w14:paraId="6DDECB5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color w:val="171717" w:themeColor="background2" w:themeShade="1A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171717" w:themeColor="background2" w:themeShade="1A"/>
          <w:sz w:val="21"/>
          <w:szCs w:val="21"/>
        </w:rPr>
        <w:t>测定法</w:t>
      </w:r>
      <w:r>
        <w:rPr>
          <w:rFonts w:hint="default" w:ascii="Times New Roman" w:hAnsi="Times New Roman" w:eastAsia="宋体" w:cs="Times New Roman"/>
          <w:b/>
          <w:color w:val="171717" w:themeColor="background2" w:themeShade="1A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171717" w:themeColor="background2" w:themeShade="1A"/>
          <w:sz w:val="21"/>
          <w:szCs w:val="21"/>
        </w:rPr>
        <w:t>分别精密吸取参照物溶液与供试品溶液各10μl，注入液相色谱仪，测定，即得。</w:t>
      </w:r>
    </w:p>
    <w:p w14:paraId="21D9478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  <w:lang w:bidi="en-US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供试品色谱中应呈现1</w:t>
      </w: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个特征峰，并应与对照药材参照物色谱中的1</w:t>
      </w: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个特征峰保留时间相对应，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其中峰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2、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峰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9、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峰1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0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应分别与</w:t>
      </w:r>
      <w:r>
        <w:rPr>
          <w:rFonts w:hint="default" w:ascii="Times New Roman" w:hAnsi="Times New Roman" w:eastAsia="宋体" w:cs="Times New Roman"/>
          <w:sz w:val="21"/>
          <w:szCs w:val="21"/>
        </w:rPr>
        <w:t>紫丁香苷参照物峰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木香烃内酯</w:t>
      </w:r>
      <w:r>
        <w:rPr>
          <w:rFonts w:hint="default" w:ascii="Times New Roman" w:hAnsi="Times New Roman" w:eastAsia="宋体" w:cs="Times New Roman"/>
          <w:sz w:val="21"/>
          <w:szCs w:val="21"/>
        </w:rPr>
        <w:t>参照物峰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和去氢木香内酯</w:t>
      </w:r>
      <w:r>
        <w:rPr>
          <w:rFonts w:hint="default" w:ascii="Times New Roman" w:hAnsi="Times New Roman" w:eastAsia="宋体" w:cs="Times New Roman"/>
          <w:sz w:val="21"/>
          <w:szCs w:val="21"/>
        </w:rPr>
        <w:t>参照物峰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保留时间相对应。</w:t>
      </w:r>
      <w:r>
        <w:rPr>
          <w:rFonts w:hint="default" w:ascii="Times New Roman" w:hAnsi="Times New Roman" w:eastAsia="宋体" w:cs="Times New Roman"/>
          <w:sz w:val="21"/>
          <w:szCs w:val="21"/>
        </w:rPr>
        <w:t>与紫丁香苷参照物峰相应的峰为S峰，计算其他各特征峰与S峰的相对保留时间，其相对保留时间应在规定值的±10%范围之内，规定值为：0.77（峰</w:t>
      </w: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）、1.04（峰</w:t>
      </w:r>
      <w:r>
        <w:rPr>
          <w:rFonts w:hint="default" w:ascii="Times New Roman" w:hAnsi="Times New Roman" w:eastAsia="宋体" w:cs="Times New Roman"/>
          <w:sz w:val="21"/>
          <w:szCs w:val="21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）、1.11（峰</w:t>
      </w:r>
      <w:r>
        <w:rPr>
          <w:rFonts w:hint="default" w:ascii="Times New Roman" w:hAnsi="Times New Roman" w:eastAsia="宋体" w:cs="Times New Roman"/>
          <w:sz w:val="21"/>
          <w:szCs w:val="21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）、1.29（峰</w:t>
      </w:r>
      <w:r>
        <w:rPr>
          <w:rFonts w:hint="default" w:ascii="Times New Roman" w:hAnsi="Times New Roman" w:eastAsia="宋体" w:cs="Times New Roman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sz w:val="21"/>
          <w:szCs w:val="21"/>
        </w:rPr>
        <w:t>）、1.83（峰</w:t>
      </w:r>
      <w:r>
        <w:rPr>
          <w:rFonts w:hint="default" w:ascii="Times New Roman" w:hAnsi="Times New Roman" w:eastAsia="宋体" w:cs="Times New Roman"/>
          <w:sz w:val="21"/>
          <w:szCs w:val="21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</w:rPr>
        <w:t>）、2.06（峰</w:t>
      </w:r>
      <w:r>
        <w:rPr>
          <w:rFonts w:hint="default" w:ascii="Times New Roman" w:hAnsi="Times New Roman" w:eastAsia="宋体" w:cs="Times New Roman"/>
          <w:sz w:val="21"/>
          <w:szCs w:val="21"/>
        </w:rPr>
        <w:t>7</w:t>
      </w:r>
      <w:r>
        <w:rPr>
          <w:rFonts w:hint="default" w:ascii="Times New Roman" w:hAnsi="Times New Roman" w:eastAsia="宋体" w:cs="Times New Roman"/>
          <w:sz w:val="21"/>
          <w:szCs w:val="21"/>
        </w:rPr>
        <w:t>）、2.89（峰</w:t>
      </w:r>
      <w:r>
        <w:rPr>
          <w:rFonts w:hint="default" w:ascii="Times New Roman" w:hAnsi="Times New Roman" w:eastAsia="宋体" w:cs="Times New Roman"/>
          <w:sz w:val="21"/>
          <w:szCs w:val="21"/>
        </w:rPr>
        <w:t>8</w:t>
      </w:r>
      <w:r>
        <w:rPr>
          <w:rFonts w:hint="default" w:ascii="Times New Roman" w:hAnsi="Times New Roman" w:eastAsia="宋体" w:cs="Times New Roman"/>
          <w:sz w:val="21"/>
          <w:szCs w:val="21"/>
        </w:rPr>
        <w:t>）、3.</w:t>
      </w:r>
      <w:r>
        <w:rPr>
          <w:rFonts w:hint="default" w:ascii="Times New Roman" w:hAnsi="Times New Roman" w:eastAsia="宋体" w:cs="Times New Roman"/>
          <w:sz w:val="21"/>
          <w:szCs w:val="21"/>
        </w:rPr>
        <w:t>40</w:t>
      </w:r>
      <w:r>
        <w:rPr>
          <w:rFonts w:hint="default" w:ascii="Times New Roman" w:hAnsi="Times New Roman" w:eastAsia="宋体" w:cs="Times New Roman"/>
          <w:sz w:val="21"/>
          <w:szCs w:val="21"/>
        </w:rPr>
        <w:t>（峰1</w:t>
      </w:r>
      <w:r>
        <w:rPr>
          <w:rFonts w:hint="default" w:ascii="Times New Roman" w:hAnsi="Times New Roman" w:eastAsia="宋体" w:cs="Times New Roman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  <w:lang w:bidi="en-US"/>
        </w:rPr>
        <w:t>。</w:t>
      </w:r>
    </w:p>
    <w:p w14:paraId="55A122C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drawing>
          <wp:inline distT="0" distB="0" distL="0" distR="0">
            <wp:extent cx="5399405" cy="2447925"/>
            <wp:effectExtent l="0" t="0" r="0" b="0"/>
            <wp:docPr id="21" name="图片 8" descr="Z:\2021配方颗粒国标省标公关共享资料\3质量标准组文件夹\18煨木香\05成品\成品对照图谱-标注-11个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 descr="Z:\2021配方颗粒国标省标公关共享资料\3质量标准组文件夹\18煨木香\05成品\成品对照图谱-标注-11个峰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448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6FF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eastAsia="zh-CN"/>
        </w:rPr>
        <w:t>对照特征图谱</w:t>
      </w:r>
    </w:p>
    <w:p w14:paraId="7040A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18"/>
          <w:szCs w:val="18"/>
          <w:lang w:eastAsia="zh-CN"/>
        </w:rPr>
        <w:t>峰1：新绿原酸；峰2（S）：紫丁香苷；峰3：绿原酸；峰4：隐绿原酸；</w:t>
      </w:r>
    </w:p>
    <w:p w14:paraId="45405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18"/>
          <w:szCs w:val="18"/>
          <w:lang w:eastAsia="zh-CN"/>
        </w:rPr>
        <w:t>峰7：异绿原酸C；峰9：木香烃内酯；峰10：去氢木香内酯</w:t>
      </w:r>
    </w:p>
    <w:p w14:paraId="63A6A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18"/>
          <w:szCs w:val="18"/>
          <w:lang w:eastAsia="zh-CN"/>
        </w:rPr>
        <w:t>色谱柱：TC C18，4.6mm×250mm，5μm</w:t>
      </w:r>
    </w:p>
    <w:p w14:paraId="5C1AAFC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【检查】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应符合颗粒剂项下有关的各项规定（中国药典2020年版通则0104）。</w:t>
      </w:r>
    </w:p>
    <w:p w14:paraId="26027DE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【浸出物】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照醇溶性浸出物测定法（</w:t>
      </w:r>
      <w:r>
        <w:rPr>
          <w:rFonts w:hint="default" w:ascii="Times New Roman" w:hAnsi="Times New Roman" w:eastAsia="宋体" w:cs="Times New Roman"/>
          <w:sz w:val="21"/>
          <w:szCs w:val="21"/>
        </w:rPr>
        <w:t>中国药典20</w:t>
      </w:r>
      <w:r>
        <w:rPr>
          <w:rFonts w:hint="default" w:ascii="Times New Roman" w:hAnsi="Times New Roman" w:eastAsia="宋体" w:cs="Times New Roman"/>
          <w:sz w:val="21"/>
          <w:szCs w:val="21"/>
        </w:rPr>
        <w:t>20</w:t>
      </w:r>
      <w:r>
        <w:rPr>
          <w:rFonts w:hint="default" w:ascii="Times New Roman" w:hAnsi="Times New Roman" w:eastAsia="宋体" w:cs="Times New Roman"/>
          <w:sz w:val="21"/>
          <w:szCs w:val="21"/>
        </w:rPr>
        <w:t>年版通则2201</w:t>
      </w:r>
      <w:r>
        <w:rPr>
          <w:rFonts w:hint="default" w:ascii="Times New Roman" w:hAnsi="Times New Roman" w:eastAsia="宋体" w:cs="Times New Roman"/>
          <w:sz w:val="21"/>
          <w:szCs w:val="21"/>
        </w:rPr>
        <w:t>）项下的热浸法测定，用乙醇作溶剂，不得少于10.0%。</w:t>
      </w:r>
    </w:p>
    <w:p w14:paraId="2D8923E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【含量测定】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照高效液相色谱法（中国药典2020年版通则0512）测定。</w:t>
      </w:r>
    </w:p>
    <w:p w14:paraId="3B04F8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000000"/>
          <w:sz w:val="21"/>
          <w:szCs w:val="21"/>
        </w:rPr>
        <w:t>色谱条件与系统适用性试验</w:t>
      </w:r>
      <w:r>
        <w:rPr>
          <w:rFonts w:hint="default" w:ascii="Times New Roman" w:hAnsi="Times New Roman" w:eastAsia="宋体" w:cs="Times New Roman"/>
          <w:b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以十八烷基硅烷键合硅胶为填充剂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bidi="en-US"/>
        </w:rPr>
        <w:t>（柱长为250mm，内径为4.6mm，粒径为5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eastAsia="en-US" w:bidi="en-US"/>
        </w:rPr>
        <w:t>μ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bidi="en-US"/>
        </w:rPr>
        <w:t>m）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；以甲醇-水（65</w:t>
      </w:r>
      <w:r>
        <w:rPr>
          <w:rFonts w:hint="default" w:ascii="Times New Roman" w:hAnsi="Times New Roman" w:eastAsia="宋体" w:cs="Times New Roman"/>
          <w:sz w:val="21"/>
          <w:szCs w:val="21"/>
        </w:rPr>
        <w:t>∶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35）为流动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highlight w:val="none"/>
        </w:rPr>
        <w:t>相；检测波长为225nm。理论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板数按木香烃内酯峰计算应不低于3000。</w:t>
      </w:r>
    </w:p>
    <w:p w14:paraId="1C9C20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对照品溶液的制备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取木香烃内酯对照品、去氢木香内酯对照品适量，精密称定，加甲醇制成每1ml含木香烃内酯3μg、去氢木香内酯40μg的混合溶液，即得。</w:t>
      </w:r>
      <w:bookmarkStart w:id="0" w:name="_GoBack"/>
      <w:bookmarkEnd w:id="0"/>
    </w:p>
    <w:p w14:paraId="101B042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</w:rPr>
        <w:t>供试品溶液的制备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取本品适量，研细，取约0.5g，精密称定，置具塞锥形瓶中，精密加入70%甲醇20ml，密塞，称定重量，超声处理（功率600W，频率40kHz）30分钟，放冷，再称定重量，用70%甲醇补足减失的重量，摇匀，滤过，取续滤液，即得。</w:t>
      </w:r>
    </w:p>
    <w:p w14:paraId="2C8953C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</w:rPr>
        <w:t>测定法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分别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精密吸取对照品溶液与供试品溶液各10μl，注入液相色谱仪，测定，即得。</w:t>
      </w:r>
    </w:p>
    <w:p w14:paraId="0EBF68B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本品每1g含木香烃内酯（C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15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20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）与去氢木香内酯（C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15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18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）的总量应为0.9</w:t>
      </w:r>
      <w:r>
        <w:rPr>
          <w:rFonts w:hint="default" w:ascii="Times New Roman" w:hAnsi="Times New Roman" w:eastAsia="宋体" w:cs="Times New Roman"/>
          <w:sz w:val="21"/>
          <w:szCs w:val="21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mg~2.7mg。</w:t>
      </w:r>
    </w:p>
    <w:p w14:paraId="37EAAC4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outlineLvl w:val="0"/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【规格】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每1g配方颗粒相当于饮片1.1g</w:t>
      </w:r>
    </w:p>
    <w:p w14:paraId="3A11CC6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2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【贮藏】</w:t>
      </w: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密封。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ZmMmNkZWYwMmY2M2MxY2VjOWU3ODQ1ZTNhZDRhNGYifQ=="/>
  </w:docVars>
  <w:rsids>
    <w:rsidRoot w:val="00B13CD7"/>
    <w:rsid w:val="00217853"/>
    <w:rsid w:val="007209FF"/>
    <w:rsid w:val="007F446B"/>
    <w:rsid w:val="00B13CD7"/>
    <w:rsid w:val="00C16972"/>
    <w:rsid w:val="00CC4243"/>
    <w:rsid w:val="00D4061E"/>
    <w:rsid w:val="0967183C"/>
    <w:rsid w:val="1DA729F5"/>
    <w:rsid w:val="21463165"/>
    <w:rsid w:val="257F75D8"/>
    <w:rsid w:val="5EC1112D"/>
    <w:rsid w:val="7056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pacing w:line="360" w:lineRule="auto"/>
      <w:ind w:firstLine="480" w:firstLineChars="200"/>
    </w:pPr>
    <w:rPr>
      <w:rFonts w:ascii="Times New Roman" w:hAnsi="Times New Roman" w:cs="Times New Roman" w:eastAsiaTheme="minorEastAsia"/>
      <w:color w:val="000000" w:themeColor="text1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  <w:lang w:val="en-US" w:eastAsia="zh-CN" w:bidi="ar-SA"/>
    </w:rPr>
  </w:style>
  <w:style w:type="paragraph" w:styleId="3">
    <w:name w:val="heading 6"/>
    <w:basedOn w:val="1"/>
    <w:next w:val="1"/>
    <w:link w:val="12"/>
    <w:autoRedefine/>
    <w:qFormat/>
    <w:uiPriority w:val="9"/>
    <w:pPr>
      <w:keepNext/>
      <w:keepLines/>
      <w:outlineLvl w:val="5"/>
    </w:pPr>
    <w:rPr>
      <w:rFonts w:cstheme="majorBidi"/>
      <w:bCs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Balloon Text"/>
    <w:basedOn w:val="1"/>
    <w:link w:val="16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表格"/>
    <w:basedOn w:val="1"/>
    <w:link w:val="11"/>
    <w:qFormat/>
    <w:uiPriority w:val="0"/>
    <w:pPr>
      <w:widowControl/>
      <w:jc w:val="center"/>
    </w:pPr>
    <w:rPr>
      <w:szCs w:val="21"/>
    </w:rPr>
  </w:style>
  <w:style w:type="character" w:customStyle="1" w:styleId="11">
    <w:name w:val="表格 Char"/>
    <w:basedOn w:val="9"/>
    <w:link w:val="10"/>
    <w:qFormat/>
    <w:uiPriority w:val="0"/>
    <w:rPr>
      <w:szCs w:val="21"/>
    </w:rPr>
  </w:style>
  <w:style w:type="character" w:customStyle="1" w:styleId="12">
    <w:name w:val="标题 6 Char"/>
    <w:basedOn w:val="9"/>
    <w:link w:val="3"/>
    <w:qFormat/>
    <w:uiPriority w:val="9"/>
    <w:rPr>
      <w:rFonts w:cstheme="majorBidi"/>
      <w:bCs/>
      <w:sz w:val="24"/>
      <w:szCs w:val="24"/>
    </w:rPr>
  </w:style>
  <w:style w:type="character" w:customStyle="1" w:styleId="13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6"/>
    <w:qFormat/>
    <w:uiPriority w:val="99"/>
    <w:rPr>
      <w:sz w:val="18"/>
      <w:szCs w:val="18"/>
    </w:rPr>
  </w:style>
  <w:style w:type="character" w:customStyle="1" w:styleId="15">
    <w:name w:val="文档结构图 Char"/>
    <w:basedOn w:val="9"/>
    <w:link w:val="4"/>
    <w:semiHidden/>
    <w:qFormat/>
    <w:uiPriority w:val="99"/>
    <w:rPr>
      <w:rFonts w:ascii="宋体" w:hAnsi="Times New Roman" w:eastAsia="宋体" w:cs="Times New Roman"/>
      <w:color w:val="000000" w:themeColor="text1"/>
      <w:kern w:val="0"/>
      <w:sz w:val="18"/>
      <w:szCs w:val="18"/>
    </w:rPr>
  </w:style>
  <w:style w:type="character" w:customStyle="1" w:styleId="16">
    <w:name w:val="批注框文本 Char"/>
    <w:basedOn w:val="9"/>
    <w:link w:val="5"/>
    <w:semiHidden/>
    <w:qFormat/>
    <w:uiPriority w:val="99"/>
    <w:rPr>
      <w:rFonts w:ascii="Times New Roman" w:hAnsi="Times New Roman" w:cs="Times New Roman"/>
      <w:color w:val="000000" w:themeColor="text1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1603</Words>
  <Characters>1995</Characters>
  <Lines>14</Lines>
  <Paragraphs>4</Paragraphs>
  <TotalTime>10</TotalTime>
  <ScaleCrop>false</ScaleCrop>
  <LinksUpToDate>false</LinksUpToDate>
  <CharactersWithSpaces>2024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2024-08-12T01:22:00Z</dcterms:created>
  <dc:creator>张开元</dc:creator>
  <cp:lastModifiedBy>爱迪生1990</cp:lastModifiedBy>
  <dcterms:modified xsi:type="dcterms:W3CDTF">2024-09-13T10:41:48Z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58421102B97E41DD96CA88B1F1EEEAF7_12</vt:lpwstr>
  </property>
</Properties>
</file>